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79" w:rsidRDefault="00A24261">
      <w:pPr>
        <w:spacing w:line="240" w:lineRule="auto"/>
        <w:jc w:val="center"/>
        <w:rPr>
          <w:rFonts w:ascii="Calibri" w:eastAsia="Calibri" w:hAnsi="Calibri" w:cs="Calibri"/>
          <w:sz w:val="26"/>
          <w:szCs w:val="26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26"/>
          <w:szCs w:val="26"/>
          <w:lang w:val="en-US"/>
        </w:rPr>
        <w:drawing>
          <wp:inline distT="0" distB="0" distL="0" distR="0">
            <wp:extent cx="4541870" cy="104296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1870" cy="10429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3D79" w:rsidRDefault="00053D79">
      <w:pPr>
        <w:spacing w:line="240" w:lineRule="auto"/>
        <w:jc w:val="center"/>
        <w:rPr>
          <w:rFonts w:ascii="Calibri" w:eastAsia="Calibri" w:hAnsi="Calibri" w:cs="Calibri"/>
          <w:sz w:val="26"/>
          <w:szCs w:val="26"/>
        </w:rPr>
      </w:pPr>
    </w:p>
    <w:tbl>
      <w:tblPr>
        <w:tblStyle w:val="a"/>
        <w:tblW w:w="90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7485"/>
      </w:tblGrid>
      <w:tr w:rsidR="00053D79">
        <w:trPr>
          <w:jc w:val="center"/>
        </w:trPr>
        <w:tc>
          <w:tcPr>
            <w:tcW w:w="1605" w:type="dxa"/>
          </w:tcPr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sz w:val="26"/>
                <w:szCs w:val="26"/>
              </w:rPr>
              <w:t>Date &amp; Time:</w:t>
            </w:r>
          </w:p>
        </w:tc>
        <w:tc>
          <w:tcPr>
            <w:tcW w:w="7485" w:type="dxa"/>
          </w:tcPr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10/19/2021 6:30 to 8:00 pm</w:t>
            </w:r>
          </w:p>
        </w:tc>
      </w:tr>
      <w:tr w:rsidR="00053D79">
        <w:trPr>
          <w:jc w:val="center"/>
        </w:trPr>
        <w:tc>
          <w:tcPr>
            <w:tcW w:w="1605" w:type="dxa"/>
          </w:tcPr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Location:</w:t>
            </w:r>
          </w:p>
        </w:tc>
        <w:tc>
          <w:tcPr>
            <w:tcW w:w="7485" w:type="dxa"/>
          </w:tcPr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Virtual Zoom Meet SEPAG’s Connect-Let's Talk Challenging Behaviors and IEP consideration</w:t>
            </w:r>
          </w:p>
        </w:tc>
      </w:tr>
      <w:tr w:rsidR="00053D79">
        <w:trPr>
          <w:jc w:val="center"/>
        </w:trPr>
        <w:tc>
          <w:tcPr>
            <w:tcW w:w="1605" w:type="dxa"/>
          </w:tcPr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Attendance:</w:t>
            </w:r>
          </w:p>
        </w:tc>
        <w:tc>
          <w:tcPr>
            <w:tcW w:w="7485" w:type="dxa"/>
          </w:tcPr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D. Perez, T. Acosta, M. Katz, K.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Heiner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, P. Prior,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esq</w:t>
            </w:r>
            <w:proofErr w:type="spellEnd"/>
          </w:p>
        </w:tc>
      </w:tr>
    </w:tbl>
    <w:p w:rsidR="00053D79" w:rsidRDefault="00053D79">
      <w:pPr>
        <w:spacing w:line="240" w:lineRule="auto"/>
        <w:rPr>
          <w:rFonts w:ascii="Calibri" w:eastAsia="Calibri" w:hAnsi="Calibri" w:cs="Calibri"/>
          <w:sz w:val="26"/>
          <w:szCs w:val="26"/>
        </w:rPr>
      </w:pPr>
      <w:bookmarkStart w:id="2" w:name="_yjgbwe4oqjwy" w:colFirst="0" w:colLast="0"/>
      <w:bookmarkEnd w:id="2"/>
    </w:p>
    <w:tbl>
      <w:tblPr>
        <w:tblStyle w:val="a0"/>
        <w:tblW w:w="10200" w:type="dxa"/>
        <w:tblInd w:w="-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3915"/>
        <w:gridCol w:w="1320"/>
        <w:gridCol w:w="1485"/>
        <w:gridCol w:w="1260"/>
      </w:tblGrid>
      <w:tr w:rsidR="00053D79">
        <w:trPr>
          <w:trHeight w:val="907"/>
        </w:trPr>
        <w:tc>
          <w:tcPr>
            <w:tcW w:w="2220" w:type="dxa"/>
            <w:shd w:val="clear" w:color="auto" w:fill="B4C6E7"/>
          </w:tcPr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Topic</w:t>
            </w:r>
          </w:p>
        </w:tc>
        <w:tc>
          <w:tcPr>
            <w:tcW w:w="3915" w:type="dxa"/>
            <w:shd w:val="clear" w:color="auto" w:fill="B4C6E7"/>
          </w:tcPr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 Discussion Summary </w:t>
            </w:r>
          </w:p>
        </w:tc>
        <w:tc>
          <w:tcPr>
            <w:tcW w:w="1320" w:type="dxa"/>
            <w:shd w:val="clear" w:color="auto" w:fill="B4C6E7"/>
          </w:tcPr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Actions </w:t>
            </w:r>
          </w:p>
        </w:tc>
        <w:tc>
          <w:tcPr>
            <w:tcW w:w="1485" w:type="dxa"/>
            <w:shd w:val="clear" w:color="auto" w:fill="B4C6E7"/>
          </w:tcPr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Responsible Party</w:t>
            </w:r>
          </w:p>
        </w:tc>
        <w:tc>
          <w:tcPr>
            <w:tcW w:w="1260" w:type="dxa"/>
            <w:shd w:val="clear" w:color="auto" w:fill="B4C6E7"/>
          </w:tcPr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Due Date</w:t>
            </w:r>
          </w:p>
          <w:p w:rsidR="00053D79" w:rsidRDefault="00053D79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053D79" w:rsidRDefault="00053D79">
      <w:pPr>
        <w:spacing w:line="240" w:lineRule="auto"/>
        <w:rPr>
          <w:rFonts w:ascii="Calibri" w:eastAsia="Calibri" w:hAnsi="Calibri" w:cs="Calibri"/>
          <w:sz w:val="26"/>
          <w:szCs w:val="26"/>
        </w:rPr>
      </w:pPr>
    </w:p>
    <w:p w:rsidR="00053D79" w:rsidRDefault="00053D79">
      <w:pPr>
        <w:spacing w:line="240" w:lineRule="auto"/>
        <w:jc w:val="center"/>
        <w:rPr>
          <w:rFonts w:ascii="Calibri" w:eastAsia="Calibri" w:hAnsi="Calibri" w:cs="Calibri"/>
          <w:sz w:val="26"/>
          <w:szCs w:val="26"/>
        </w:rPr>
      </w:pPr>
    </w:p>
    <w:tbl>
      <w:tblPr>
        <w:tblStyle w:val="a1"/>
        <w:tblW w:w="102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4050"/>
        <w:gridCol w:w="1350"/>
        <w:gridCol w:w="1455"/>
        <w:gridCol w:w="1140"/>
      </w:tblGrid>
      <w:tr w:rsidR="00053D79">
        <w:trPr>
          <w:trHeight w:val="1457"/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D79" w:rsidRDefault="00A2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Housekeeping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Tracy Acosta went over the rules of the group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D79" w:rsidRDefault="0005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D79" w:rsidRDefault="0005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D79" w:rsidRDefault="0005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45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053D79">
        <w:trPr>
          <w:trHeight w:val="1457"/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D79" w:rsidRDefault="00A2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Guest Presenter</w:t>
            </w:r>
          </w:p>
          <w:p w:rsidR="00053D79" w:rsidRDefault="00A2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Paul Prior presented on  Challenging Behaviors and IEP considerations.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Michele Katz introduced Paul Prior of Hinkle Prior and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FIscher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>. The attorneys at Hinkle, Prior &amp;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Fischer, P.C. have over 70 years of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combined experience providing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specialized legal services to families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of children and adults with a wide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range of disabiliti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es and seniors.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They have argued many of the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precedent setting cases affecting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individuals with disabilities in New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Jersey and Pennsylvania.</w:t>
            </w:r>
          </w:p>
          <w:p w:rsidR="00053D79" w:rsidRDefault="00053D79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053D79" w:rsidRDefault="00053D79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053D79" w:rsidRDefault="00053D79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 xml:space="preserve">The Presentation consisted of a summary of behavioral considerations. 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There was a Q and A session throughout the session.</w:t>
            </w:r>
          </w:p>
          <w:p w:rsidR="00053D79" w:rsidRDefault="00053D79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Topics covered were:</w:t>
            </w:r>
          </w:p>
          <w:p w:rsidR="00053D79" w:rsidRDefault="00053D79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Behaviors and their causes. The importance of determining the function of behavior. The function of the behavior is the most important thing.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FBA (Functional Behavioral Assessment)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is recommended when the cause needs to be determined. Can be requested in writing by a parent or teacher. 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Properly conducted FBA</w:t>
            </w:r>
          </w:p>
          <w:p w:rsidR="00053D79" w:rsidRDefault="00053D79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Parents are encouraged to be an active part of the IEP team. Parents are equal participants.</w:t>
            </w:r>
          </w:p>
          <w:p w:rsidR="00053D79" w:rsidRDefault="00053D79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IEP is a collaborative effort.</w:t>
            </w:r>
          </w:p>
          <w:p w:rsidR="00053D79" w:rsidRDefault="00053D79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Behavioral problems at school and at home should be considered in IEP.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School helps students gain skills and knowledge to function in the real world. 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Outside FBA’s should include recommendations and parents should ask schools to consider them.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The requests should be written into the IEP.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Requests should be out in writing and placed into the parent comment section of IEP.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Ask for it to be added in if it is not in there.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A properly conducted FBA should provide recommendations that are helpful for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students and the teacher. Examples of recommendation can be an aide, equipment, assistive technology.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Discipline can make a student susceptible to suspension, but not for more than 10 days.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Students cannot be disciplined for a manifestation of their disability.</w:t>
            </w: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 Student is entitled to a manifestation determination meeting.</w:t>
            </w:r>
          </w:p>
          <w:p w:rsidR="00053D79" w:rsidRDefault="00053D79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Significant challenges sometimes warrant out of district placement if the environment is not conducive to students.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D79" w:rsidRDefault="00A2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Sha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re info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D79" w:rsidRDefault="00A2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All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D79" w:rsidRDefault="00A2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45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Ongoing</w:t>
            </w:r>
          </w:p>
        </w:tc>
      </w:tr>
      <w:tr w:rsidR="00053D79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D79" w:rsidRDefault="0005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D79" w:rsidRDefault="00A24261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Follow up handouts were provided and email to email list. Topics are Special education, Medicaid eligibility, Division of Developmental Disabilities, Estate Planning, </w:t>
            </w:r>
          </w:p>
          <w:p w:rsidR="00053D79" w:rsidRDefault="00A2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Guardianship.</w:t>
            </w:r>
          </w:p>
          <w:p w:rsidR="00053D79" w:rsidRDefault="00A2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Handouts are available upon request.</w:t>
            </w:r>
          </w:p>
          <w:p w:rsidR="00053D79" w:rsidRDefault="00A2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Jtsepag@gmail.com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D79" w:rsidRDefault="0005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D79" w:rsidRDefault="0005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D79" w:rsidRDefault="0005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053D79">
        <w:trPr>
          <w:jc w:val="center"/>
        </w:trPr>
        <w:tc>
          <w:tcPr>
            <w:tcW w:w="2220" w:type="dxa"/>
            <w:tcBorders>
              <w:right w:val="single" w:sz="8" w:space="0" w:color="434343"/>
            </w:tcBorders>
          </w:tcPr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Next meeting</w:t>
            </w:r>
          </w:p>
        </w:tc>
        <w:tc>
          <w:tcPr>
            <w:tcW w:w="40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Nov 16, 2021 Zoom with Nicole Monaco from SPAN. She will be presenting on Student led IEP meetings.</w:t>
            </w:r>
          </w:p>
        </w:tc>
        <w:tc>
          <w:tcPr>
            <w:tcW w:w="1350" w:type="dxa"/>
            <w:tcBorders>
              <w:left w:val="single" w:sz="8" w:space="0" w:color="434343"/>
            </w:tcBorders>
          </w:tcPr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send info spread word.</w:t>
            </w:r>
          </w:p>
        </w:tc>
        <w:tc>
          <w:tcPr>
            <w:tcW w:w="1455" w:type="dxa"/>
          </w:tcPr>
          <w:p w:rsidR="00053D79" w:rsidRDefault="00A2426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all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D79" w:rsidRDefault="00A2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ongoing</w:t>
            </w:r>
          </w:p>
        </w:tc>
      </w:tr>
    </w:tbl>
    <w:p w:rsidR="00053D79" w:rsidRDefault="00A24261">
      <w:pP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Submitted by: Michele Katz</w:t>
      </w:r>
    </w:p>
    <w:sectPr w:rsidR="00053D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79"/>
    <w:rsid w:val="00053D79"/>
    <w:rsid w:val="00A2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819EC8-D806-48AB-BE93-3D61B45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Mildred Ortiz-Connors</dc:creator>
  <cp:lastModifiedBy>Mildred Ortiz-Connors</cp:lastModifiedBy>
  <cp:revision>2</cp:revision>
  <dcterms:created xsi:type="dcterms:W3CDTF">2021-11-08T18:54:00Z</dcterms:created>
  <dcterms:modified xsi:type="dcterms:W3CDTF">2021-11-08T18:54:00Z</dcterms:modified>
</cp:coreProperties>
</file>